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911F0E" w:rsidRPr="00911F0E" w:rsidRDefault="00911F0E" w:rsidP="00911F0E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911F0E">
        <w:rPr>
          <w:rFonts w:ascii="Arial" w:hAnsi="Arial" w:cs="Arial"/>
          <w:bCs/>
          <w:sz w:val="24"/>
          <w:szCs w:val="24"/>
        </w:rPr>
        <w:t xml:space="preserve">Виды </w:t>
      </w:r>
      <w:proofErr w:type="spellStart"/>
      <w:r w:rsidRPr="00911F0E">
        <w:rPr>
          <w:rFonts w:ascii="Arial" w:hAnsi="Arial" w:cs="Arial"/>
          <w:bCs/>
          <w:sz w:val="24"/>
          <w:szCs w:val="24"/>
        </w:rPr>
        <w:t>несплошного</w:t>
      </w:r>
      <w:proofErr w:type="spellEnd"/>
      <w:r w:rsidRPr="00911F0E">
        <w:rPr>
          <w:rFonts w:ascii="Arial" w:hAnsi="Arial" w:cs="Arial"/>
          <w:bCs/>
          <w:sz w:val="24"/>
          <w:szCs w:val="24"/>
        </w:rPr>
        <w:t xml:space="preserve"> статистического наблюдения:</w:t>
      </w:r>
    </w:p>
    <w:p w:rsidR="00911F0E" w:rsidRPr="00911F0E" w:rsidRDefault="00911F0E" w:rsidP="00911F0E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монографическое</w:t>
      </w:r>
    </w:p>
    <w:p w:rsidR="00911F0E" w:rsidRPr="00911F0E" w:rsidRDefault="00911F0E" w:rsidP="00911F0E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обследование основного массива</w:t>
      </w:r>
    </w:p>
    <w:p w:rsidR="00911F0E" w:rsidRPr="00911F0E" w:rsidRDefault="00911F0E" w:rsidP="00911F0E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специально организованное наблюдение</w:t>
      </w:r>
    </w:p>
    <w:p w:rsidR="00911F0E" w:rsidRPr="00911F0E" w:rsidRDefault="00911F0E" w:rsidP="00911F0E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текущее статистическое наблюдение</w:t>
      </w:r>
    </w:p>
    <w:p w:rsidR="00911F0E" w:rsidRPr="00911F0E" w:rsidRDefault="00911F0E" w:rsidP="00911F0E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выборочное наблюдение</w:t>
      </w:r>
    </w:p>
    <w:p w:rsidR="00412E90" w:rsidRDefault="00412E90" w:rsidP="00412E90">
      <w:pPr>
        <w:pStyle w:val="a3"/>
        <w:ind w:left="1500"/>
        <w:rPr>
          <w:rFonts w:ascii="Arial" w:hAnsi="Arial" w:cs="Arial"/>
          <w:sz w:val="24"/>
          <w:szCs w:val="24"/>
        </w:rPr>
      </w:pPr>
    </w:p>
    <w:p w:rsidR="00911F0E" w:rsidRPr="00911F0E" w:rsidRDefault="00911F0E" w:rsidP="00911F0E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911F0E">
        <w:rPr>
          <w:rFonts w:ascii="Arial" w:hAnsi="Arial" w:cs="Arial"/>
          <w:bCs/>
          <w:sz w:val="24"/>
          <w:szCs w:val="24"/>
        </w:rPr>
        <w:t>Субъект, от которого поступают данные в ходе статистического наблюдения, называется:</w:t>
      </w:r>
    </w:p>
    <w:p w:rsidR="00911F0E" w:rsidRPr="00911F0E" w:rsidRDefault="00911F0E" w:rsidP="00911F0E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единица наблюдения</w:t>
      </w:r>
    </w:p>
    <w:p w:rsidR="00911F0E" w:rsidRPr="00911F0E" w:rsidRDefault="00911F0E" w:rsidP="00911F0E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единица статистической совокупности</w:t>
      </w:r>
    </w:p>
    <w:p w:rsidR="00911F0E" w:rsidRPr="00911F0E" w:rsidRDefault="00911F0E" w:rsidP="00911F0E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отчетная единица</w:t>
      </w:r>
    </w:p>
    <w:p w:rsidR="00911F0E" w:rsidRDefault="00911F0E" w:rsidP="00911F0E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объект наблюдения</w:t>
      </w:r>
    </w:p>
    <w:p w:rsidR="00911F0E" w:rsidRPr="00911F0E" w:rsidRDefault="00911F0E" w:rsidP="00911F0E">
      <w:pPr>
        <w:pStyle w:val="a3"/>
        <w:tabs>
          <w:tab w:val="left" w:pos="3861"/>
        </w:tabs>
        <w:ind w:left="1440"/>
        <w:jc w:val="both"/>
        <w:rPr>
          <w:rFonts w:ascii="Arial" w:hAnsi="Arial" w:cs="Arial"/>
          <w:sz w:val="24"/>
          <w:szCs w:val="24"/>
        </w:rPr>
      </w:pPr>
    </w:p>
    <w:p w:rsidR="00911F0E" w:rsidRPr="00911F0E" w:rsidRDefault="00911F0E" w:rsidP="00911F0E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911F0E">
        <w:rPr>
          <w:rFonts w:ascii="Arial" w:hAnsi="Arial" w:cs="Arial"/>
          <w:bCs/>
          <w:sz w:val="24"/>
          <w:szCs w:val="24"/>
        </w:rPr>
        <w:t>Непрерывные признаки группировок:</w:t>
      </w:r>
    </w:p>
    <w:p w:rsidR="00911F0E" w:rsidRPr="00911F0E" w:rsidRDefault="00911F0E" w:rsidP="00911F0E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величина вкладов населения в учреждениях сберегательного банка</w:t>
      </w:r>
    </w:p>
    <w:p w:rsidR="00911F0E" w:rsidRPr="00911F0E" w:rsidRDefault="00911F0E" w:rsidP="00911F0E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число членов семей</w:t>
      </w:r>
    </w:p>
    <w:p w:rsidR="00911F0E" w:rsidRPr="00911F0E" w:rsidRDefault="00911F0E" w:rsidP="00911F0E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размер обуви</w:t>
      </w:r>
    </w:p>
    <w:p w:rsidR="00911F0E" w:rsidRPr="00911F0E" w:rsidRDefault="00911F0E" w:rsidP="00911F0E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численность работников предприятий</w:t>
      </w:r>
    </w:p>
    <w:p w:rsidR="00911F0E" w:rsidRPr="00911F0E" w:rsidRDefault="00911F0E" w:rsidP="00911F0E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численность населения стран</w:t>
      </w:r>
    </w:p>
    <w:p w:rsidR="00911F0E" w:rsidRDefault="00911F0E" w:rsidP="00911F0E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заработная плата работающих</w:t>
      </w:r>
    </w:p>
    <w:p w:rsidR="00911F0E" w:rsidRDefault="00911F0E" w:rsidP="00911F0E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11F0E" w:rsidRPr="00911F0E" w:rsidRDefault="00911F0E" w:rsidP="00911F0E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bCs/>
          <w:sz w:val="24"/>
          <w:szCs w:val="24"/>
        </w:rPr>
        <w:t>Подлежащее статистической таблицы – это:</w:t>
      </w:r>
    </w:p>
    <w:p w:rsidR="00911F0E" w:rsidRPr="00911F0E" w:rsidRDefault="00911F0E" w:rsidP="00911F0E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lastRenderedPageBreak/>
        <w:t>заголовок таблицы, содержащей характеристику единиц наблюдения</w:t>
      </w:r>
    </w:p>
    <w:p w:rsidR="00911F0E" w:rsidRPr="00911F0E" w:rsidRDefault="00911F0E" w:rsidP="00911F0E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числа, характеризующие единицы наблюдения</w:t>
      </w:r>
    </w:p>
    <w:p w:rsidR="00911F0E" w:rsidRPr="00911F0E" w:rsidRDefault="00911F0E" w:rsidP="00911F0E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перечень единиц наблюдения</w:t>
      </w:r>
    </w:p>
    <w:p w:rsidR="00911F0E" w:rsidRDefault="00911F0E" w:rsidP="00911F0E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перечень групп, на которые разделены единицы наблюдения</w:t>
      </w:r>
    </w:p>
    <w:p w:rsidR="00911F0E" w:rsidRDefault="00911F0E" w:rsidP="00911F0E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11F0E" w:rsidRPr="00911F0E" w:rsidRDefault="00911F0E" w:rsidP="00911F0E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bCs/>
          <w:sz w:val="24"/>
          <w:szCs w:val="24"/>
        </w:rPr>
        <w:t>При увеличении всех значений признака в 2 раза средняя арифметическая:</w:t>
      </w:r>
    </w:p>
    <w:p w:rsidR="00911F0E" w:rsidRPr="00911F0E" w:rsidRDefault="00911F0E" w:rsidP="00911F0E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не изменится</w:t>
      </w:r>
    </w:p>
    <w:p w:rsidR="00911F0E" w:rsidRPr="00911F0E" w:rsidRDefault="00911F0E" w:rsidP="00911F0E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уменьшится более чем в 2 раза</w:t>
      </w:r>
    </w:p>
    <w:p w:rsidR="00911F0E" w:rsidRPr="00911F0E" w:rsidRDefault="00911F0E" w:rsidP="00911F0E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увеличится в 2 раза</w:t>
      </w:r>
    </w:p>
    <w:p w:rsidR="00911F0E" w:rsidRPr="00911F0E" w:rsidRDefault="00911F0E" w:rsidP="00911F0E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увеличится более чем в 2 раза</w:t>
      </w:r>
    </w:p>
    <w:p w:rsidR="00911F0E" w:rsidRDefault="00911F0E" w:rsidP="00911F0E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уменьшится в 2 раза</w:t>
      </w:r>
    </w:p>
    <w:p w:rsidR="00911F0E" w:rsidRDefault="00911F0E" w:rsidP="00911F0E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11F0E" w:rsidRPr="00911F0E" w:rsidRDefault="00911F0E" w:rsidP="00911F0E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bCs/>
          <w:sz w:val="24"/>
          <w:szCs w:val="24"/>
        </w:rPr>
        <w:t>Наилучшей характеристикой для сравнения вариации различных совокупностей служит:</w:t>
      </w:r>
    </w:p>
    <w:p w:rsidR="00911F0E" w:rsidRPr="00911F0E" w:rsidRDefault="00911F0E" w:rsidP="00911F0E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размах вариации</w:t>
      </w:r>
    </w:p>
    <w:p w:rsidR="00911F0E" w:rsidRPr="00911F0E" w:rsidRDefault="00911F0E" w:rsidP="00911F0E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дисперсия</w:t>
      </w:r>
    </w:p>
    <w:p w:rsidR="00911F0E" w:rsidRPr="00911F0E" w:rsidRDefault="00911F0E" w:rsidP="00911F0E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 xml:space="preserve">среднее </w:t>
      </w:r>
      <w:proofErr w:type="spellStart"/>
      <w:r w:rsidRPr="00911F0E">
        <w:rPr>
          <w:rFonts w:ascii="Arial" w:hAnsi="Arial" w:cs="Arial"/>
          <w:sz w:val="24"/>
          <w:szCs w:val="24"/>
        </w:rPr>
        <w:t>квадратическое</w:t>
      </w:r>
      <w:proofErr w:type="spellEnd"/>
      <w:r w:rsidRPr="00911F0E">
        <w:rPr>
          <w:rFonts w:ascii="Arial" w:hAnsi="Arial" w:cs="Arial"/>
          <w:sz w:val="24"/>
          <w:szCs w:val="24"/>
        </w:rPr>
        <w:t xml:space="preserve"> отклонение</w:t>
      </w:r>
    </w:p>
    <w:p w:rsidR="00911F0E" w:rsidRDefault="00911F0E" w:rsidP="00911F0E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коэффициент вариации</w:t>
      </w:r>
    </w:p>
    <w:p w:rsidR="00911F0E" w:rsidRDefault="00911F0E" w:rsidP="00911F0E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11F0E" w:rsidRPr="00911F0E" w:rsidRDefault="00911F0E" w:rsidP="00911F0E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bCs/>
          <w:sz w:val="24"/>
          <w:szCs w:val="24"/>
        </w:rPr>
        <w:t>Способы отбора единиц в выборочную совокупность:</w:t>
      </w:r>
    </w:p>
    <w:p w:rsidR="00911F0E" w:rsidRPr="00911F0E" w:rsidRDefault="00911F0E" w:rsidP="00911F0E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собственно-случайный</w:t>
      </w:r>
    </w:p>
    <w:p w:rsidR="00911F0E" w:rsidRPr="00911F0E" w:rsidRDefault="00911F0E" w:rsidP="00911F0E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серийный</w:t>
      </w:r>
    </w:p>
    <w:p w:rsidR="00911F0E" w:rsidRPr="00911F0E" w:rsidRDefault="00911F0E" w:rsidP="00911F0E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комбинированный</w:t>
      </w:r>
    </w:p>
    <w:p w:rsidR="00911F0E" w:rsidRPr="00911F0E" w:rsidRDefault="00911F0E" w:rsidP="00911F0E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механический</w:t>
      </w:r>
    </w:p>
    <w:p w:rsidR="00911F0E" w:rsidRPr="00911F0E" w:rsidRDefault="00911F0E" w:rsidP="00911F0E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сложный</w:t>
      </w:r>
    </w:p>
    <w:p w:rsidR="00911F0E" w:rsidRPr="00911F0E" w:rsidRDefault="00911F0E" w:rsidP="00911F0E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альтернативный</w:t>
      </w:r>
    </w:p>
    <w:p w:rsidR="00911F0E" w:rsidRPr="00911F0E" w:rsidRDefault="00911F0E" w:rsidP="00911F0E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 xml:space="preserve">типический </w:t>
      </w:r>
    </w:p>
    <w:p w:rsidR="00911F0E" w:rsidRDefault="00911F0E" w:rsidP="00911F0E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аналитический</w:t>
      </w:r>
    </w:p>
    <w:p w:rsidR="00911F0E" w:rsidRPr="00911F0E" w:rsidRDefault="00911F0E" w:rsidP="00911F0E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11F0E" w:rsidRPr="00911F0E" w:rsidRDefault="00911F0E" w:rsidP="00911F0E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911F0E">
        <w:rPr>
          <w:rFonts w:ascii="Arial" w:hAnsi="Arial" w:cs="Arial"/>
          <w:bCs/>
          <w:sz w:val="24"/>
          <w:szCs w:val="24"/>
        </w:rPr>
        <w:t xml:space="preserve">Численность населения области на 1.01.05г. составляла 4836 тыс. чел., на 1.04.05г – 4800 тыс. чел., на 1.06.2005г. – 4905 тыс.чел., на 1.10.2005г. – 4805 тыс.чел., на 1.01.2006г. – 4890 тыс. </w:t>
      </w:r>
      <w:proofErr w:type="spellStart"/>
      <w:r w:rsidRPr="00911F0E">
        <w:rPr>
          <w:rFonts w:ascii="Arial" w:hAnsi="Arial" w:cs="Arial"/>
          <w:bCs/>
          <w:sz w:val="24"/>
          <w:szCs w:val="24"/>
        </w:rPr>
        <w:t>чел.Средняя</w:t>
      </w:r>
      <w:proofErr w:type="spellEnd"/>
      <w:r w:rsidRPr="00911F0E">
        <w:rPr>
          <w:rFonts w:ascii="Arial" w:hAnsi="Arial" w:cs="Arial"/>
          <w:bCs/>
          <w:sz w:val="24"/>
          <w:szCs w:val="24"/>
        </w:rPr>
        <w:t xml:space="preserve"> численность населения за период 2005 года равна …</w:t>
      </w:r>
    </w:p>
    <w:p w:rsidR="00911F0E" w:rsidRPr="00911F0E" w:rsidRDefault="00911F0E" w:rsidP="00911F0E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4859</w:t>
      </w:r>
    </w:p>
    <w:p w:rsidR="00911F0E" w:rsidRPr="00911F0E" w:rsidRDefault="00911F0E" w:rsidP="00911F0E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4843</w:t>
      </w:r>
    </w:p>
    <w:p w:rsidR="00911F0E" w:rsidRDefault="00911F0E" w:rsidP="00911F0E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4836</w:t>
      </w:r>
    </w:p>
    <w:p w:rsidR="00911F0E" w:rsidRDefault="00911F0E" w:rsidP="00911F0E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11F0E" w:rsidRPr="00911F0E" w:rsidRDefault="00911F0E" w:rsidP="00911F0E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bCs/>
          <w:sz w:val="24"/>
          <w:szCs w:val="24"/>
        </w:rPr>
        <w:t>При построении агрегатных индексов количественных показателей, как правило, используют веса … периода.</w:t>
      </w:r>
    </w:p>
    <w:p w:rsidR="00911F0E" w:rsidRPr="00911F0E" w:rsidRDefault="00911F0E" w:rsidP="00911F0E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отчетного</w:t>
      </w:r>
    </w:p>
    <w:p w:rsidR="00720091" w:rsidRDefault="00911F0E" w:rsidP="00720091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911F0E">
        <w:rPr>
          <w:rFonts w:ascii="Arial" w:hAnsi="Arial" w:cs="Arial"/>
          <w:sz w:val="24"/>
          <w:szCs w:val="24"/>
        </w:rPr>
        <w:t>базисного</w:t>
      </w:r>
    </w:p>
    <w:p w:rsidR="00720091" w:rsidRDefault="00720091" w:rsidP="00720091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20091" w:rsidRPr="00720091" w:rsidRDefault="00720091" w:rsidP="00720091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bCs/>
          <w:sz w:val="24"/>
          <w:szCs w:val="24"/>
        </w:rPr>
        <w:t>Прямую</w:t>
      </w:r>
      <w:r w:rsidRPr="00720091">
        <w:rPr>
          <w:rFonts w:ascii="Arial" w:hAnsi="Arial" w:cs="Arial"/>
          <w:bCs/>
          <w:color w:val="FF0000"/>
          <w:sz w:val="24"/>
          <w:szCs w:val="24"/>
        </w:rPr>
        <w:t xml:space="preserve"> </w:t>
      </w:r>
      <w:r w:rsidRPr="00720091">
        <w:rPr>
          <w:rFonts w:ascii="Arial" w:hAnsi="Arial" w:cs="Arial"/>
          <w:bCs/>
          <w:sz w:val="24"/>
          <w:szCs w:val="24"/>
        </w:rPr>
        <w:t>связь между признаками показывают коэффициенты корреляции …</w:t>
      </w:r>
    </w:p>
    <w:p w:rsidR="00720091" w:rsidRPr="00720091" w:rsidRDefault="00720091" w:rsidP="00720091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0,982</w:t>
      </w:r>
    </w:p>
    <w:p w:rsidR="00720091" w:rsidRPr="00720091" w:rsidRDefault="00720091" w:rsidP="00720091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lastRenderedPageBreak/>
        <w:t>0,871</w:t>
      </w:r>
    </w:p>
    <w:p w:rsidR="00720091" w:rsidRDefault="00720091" w:rsidP="00720091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–0,991</w:t>
      </w:r>
    </w:p>
    <w:p w:rsidR="00720091" w:rsidRDefault="00720091" w:rsidP="00720091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20091" w:rsidRPr="00720091" w:rsidRDefault="00720091" w:rsidP="00720091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bCs/>
          <w:sz w:val="24"/>
          <w:szCs w:val="24"/>
        </w:rPr>
        <w:t>Метод главных компонент:</w:t>
      </w:r>
    </w:p>
    <w:p w:rsidR="00720091" w:rsidRPr="00720091" w:rsidRDefault="00720091" w:rsidP="00720091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позволяет определить на основе исходных данных зависимость нескольких результативных показат</w:t>
      </w:r>
      <w:r w:rsidRPr="00720091">
        <w:rPr>
          <w:rFonts w:ascii="Arial" w:hAnsi="Arial" w:cs="Arial"/>
          <w:sz w:val="24"/>
          <w:szCs w:val="24"/>
        </w:rPr>
        <w:t>е</w:t>
      </w:r>
      <w:r w:rsidRPr="00720091">
        <w:rPr>
          <w:rFonts w:ascii="Arial" w:hAnsi="Arial" w:cs="Arial"/>
          <w:sz w:val="24"/>
          <w:szCs w:val="24"/>
        </w:rPr>
        <w:t>лей от большого числа факторов</w:t>
      </w:r>
    </w:p>
    <w:p w:rsidR="00720091" w:rsidRPr="00720091" w:rsidRDefault="00720091" w:rsidP="00720091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заключается в выборе новой системы координат в многомерном пространстве признаков, в которой статистические свойства характеризуются дисперсиями главных компонент</w:t>
      </w:r>
    </w:p>
    <w:p w:rsidR="00720091" w:rsidRDefault="00720091" w:rsidP="00720091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это установление тесноты статистической зависимости между результатом и всеми включенными в м</w:t>
      </w:r>
      <w:r w:rsidRPr="00720091">
        <w:rPr>
          <w:rFonts w:ascii="Arial" w:hAnsi="Arial" w:cs="Arial"/>
          <w:sz w:val="24"/>
          <w:szCs w:val="24"/>
        </w:rPr>
        <w:t>о</w:t>
      </w:r>
      <w:r w:rsidRPr="00720091">
        <w:rPr>
          <w:rFonts w:ascii="Arial" w:hAnsi="Arial" w:cs="Arial"/>
          <w:sz w:val="24"/>
          <w:szCs w:val="24"/>
        </w:rPr>
        <w:t>дель факторами</w:t>
      </w:r>
    </w:p>
    <w:p w:rsidR="00720091" w:rsidRDefault="00720091" w:rsidP="00720091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20091" w:rsidRPr="00720091" w:rsidRDefault="00720091" w:rsidP="00720091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bCs/>
          <w:sz w:val="24"/>
          <w:szCs w:val="24"/>
        </w:rPr>
        <w:t>Как определяется коэффициент механического прироста:</w:t>
      </w:r>
    </w:p>
    <w:p w:rsidR="00720091" w:rsidRPr="00720091" w:rsidRDefault="00720091" w:rsidP="00720091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отношение абсолютного механического прироста к среднегодовой численности населения</w:t>
      </w:r>
    </w:p>
    <w:p w:rsidR="00720091" w:rsidRPr="00720091" w:rsidRDefault="00720091" w:rsidP="00720091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разностью между числом прибывших и выбывших</w:t>
      </w:r>
    </w:p>
    <w:p w:rsidR="00720091" w:rsidRDefault="00720091" w:rsidP="00720091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отношением числа прибывших к среднегодовой численности населения</w:t>
      </w:r>
    </w:p>
    <w:p w:rsidR="00720091" w:rsidRDefault="00720091" w:rsidP="00720091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20091" w:rsidRPr="00720091" w:rsidRDefault="00720091" w:rsidP="00720091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bCs/>
          <w:sz w:val="24"/>
          <w:szCs w:val="24"/>
        </w:rPr>
        <w:t>Хозяйственная единица, которая ведет полный набор бухгалтерских счетов, может самосто</w:t>
      </w:r>
      <w:r w:rsidRPr="00720091">
        <w:rPr>
          <w:rFonts w:ascii="Arial" w:hAnsi="Arial" w:cs="Arial"/>
          <w:bCs/>
          <w:sz w:val="24"/>
          <w:szCs w:val="24"/>
        </w:rPr>
        <w:t>я</w:t>
      </w:r>
      <w:r w:rsidRPr="00720091">
        <w:rPr>
          <w:rFonts w:ascii="Arial" w:hAnsi="Arial" w:cs="Arial"/>
          <w:bCs/>
          <w:sz w:val="24"/>
          <w:szCs w:val="24"/>
        </w:rPr>
        <w:t>тельно принимать решения и распоряжаться своими материальными и финансовыми ресурсами – это:</w:t>
      </w:r>
    </w:p>
    <w:p w:rsidR="00720091" w:rsidRPr="00720091" w:rsidRDefault="00720091" w:rsidP="00720091">
      <w:pPr>
        <w:pStyle w:val="a3"/>
        <w:numPr>
          <w:ilvl w:val="0"/>
          <w:numId w:val="37"/>
        </w:numPr>
        <w:rPr>
          <w:rFonts w:ascii="Arial" w:hAnsi="Arial" w:cs="Arial"/>
          <w:b/>
          <w:bCs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заведение</w:t>
      </w:r>
    </w:p>
    <w:p w:rsidR="00720091" w:rsidRPr="00720091" w:rsidRDefault="00720091" w:rsidP="00720091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единица однородного производства</w:t>
      </w:r>
    </w:p>
    <w:p w:rsidR="00720091" w:rsidRDefault="00720091" w:rsidP="00720091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институциональная единица</w:t>
      </w:r>
    </w:p>
    <w:p w:rsidR="00720091" w:rsidRDefault="00720091" w:rsidP="00720091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20091" w:rsidRPr="00720091" w:rsidRDefault="00720091" w:rsidP="00720091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bCs/>
          <w:sz w:val="24"/>
          <w:szCs w:val="24"/>
        </w:rPr>
        <w:t>Если трудоемкость продукции выросла на 3%, то производительность труда:</w:t>
      </w:r>
    </w:p>
    <w:p w:rsidR="00720091" w:rsidRPr="00720091" w:rsidRDefault="00720091" w:rsidP="00720091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уменьшилась на 2,9%</w:t>
      </w:r>
    </w:p>
    <w:p w:rsidR="00720091" w:rsidRPr="00720091" w:rsidRDefault="00720091" w:rsidP="00720091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уменьшилась на 3%</w:t>
      </w:r>
    </w:p>
    <w:p w:rsidR="00720091" w:rsidRPr="00720091" w:rsidRDefault="00720091" w:rsidP="00720091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увеличилась на 2,9%</w:t>
      </w:r>
    </w:p>
    <w:p w:rsidR="00720091" w:rsidRPr="00720091" w:rsidRDefault="00720091" w:rsidP="00720091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не изменилась</w:t>
      </w:r>
    </w:p>
    <w:p w:rsidR="00720091" w:rsidRDefault="00720091" w:rsidP="00720091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увеличилась на 3%</w:t>
      </w:r>
    </w:p>
    <w:p w:rsidR="00720091" w:rsidRPr="00720091" w:rsidRDefault="00720091" w:rsidP="00720091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20091" w:rsidRPr="00720091" w:rsidRDefault="00720091" w:rsidP="00720091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720091">
        <w:rPr>
          <w:rFonts w:ascii="Arial" w:hAnsi="Arial" w:cs="Arial"/>
          <w:bCs/>
          <w:sz w:val="24"/>
          <w:szCs w:val="24"/>
        </w:rPr>
        <w:t>Полная балансовая стоимость основных фондов на начало года составила 58 млн. руб., а на конец года 60 млн. руб. Степень износа основных фондов на начало года составила 15%, Остато</w:t>
      </w:r>
      <w:r w:rsidRPr="00720091">
        <w:rPr>
          <w:rFonts w:ascii="Arial" w:hAnsi="Arial" w:cs="Arial"/>
          <w:bCs/>
          <w:sz w:val="24"/>
          <w:szCs w:val="24"/>
        </w:rPr>
        <w:t>ч</w:t>
      </w:r>
      <w:r w:rsidRPr="00720091">
        <w:rPr>
          <w:rFonts w:ascii="Arial" w:hAnsi="Arial" w:cs="Arial"/>
          <w:bCs/>
          <w:sz w:val="24"/>
          <w:szCs w:val="24"/>
        </w:rPr>
        <w:t>ная стоимость на конец года – 48 млн. руб. Коэффициент износа на конец года (с точностью до 1%) равен:</w:t>
      </w:r>
    </w:p>
    <w:p w:rsidR="00720091" w:rsidRPr="00720091" w:rsidRDefault="00720091" w:rsidP="00720091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20</w:t>
      </w:r>
    </w:p>
    <w:p w:rsidR="00720091" w:rsidRPr="00720091" w:rsidRDefault="00720091" w:rsidP="00720091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25</w:t>
      </w:r>
    </w:p>
    <w:p w:rsidR="00720091" w:rsidRPr="00720091" w:rsidRDefault="00720091" w:rsidP="00720091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40</w:t>
      </w:r>
    </w:p>
    <w:p w:rsidR="00720091" w:rsidRPr="00720091" w:rsidRDefault="00720091" w:rsidP="00720091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720091">
        <w:rPr>
          <w:rFonts w:ascii="Arial" w:hAnsi="Arial" w:cs="Arial"/>
          <w:sz w:val="24"/>
          <w:szCs w:val="24"/>
        </w:rPr>
        <w:t>50</w:t>
      </w:r>
    </w:p>
    <w:p w:rsidR="00412E90" w:rsidRPr="00720091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lastRenderedPageBreak/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0B8E"/>
    <w:multiLevelType w:val="hybridMultilevel"/>
    <w:tmpl w:val="D1A093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111A4F"/>
    <w:multiLevelType w:val="hybridMultilevel"/>
    <w:tmpl w:val="E2CAF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7479F6"/>
    <w:multiLevelType w:val="hybridMultilevel"/>
    <w:tmpl w:val="7A800EAC"/>
    <w:lvl w:ilvl="0" w:tplc="37BE00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06487A"/>
    <w:multiLevelType w:val="hybridMultilevel"/>
    <w:tmpl w:val="6CFEB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702A6"/>
    <w:multiLevelType w:val="hybridMultilevel"/>
    <w:tmpl w:val="F38245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43D270D"/>
    <w:multiLevelType w:val="hybridMultilevel"/>
    <w:tmpl w:val="54AA98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46921"/>
    <w:multiLevelType w:val="hybridMultilevel"/>
    <w:tmpl w:val="CCAC98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481A80"/>
    <w:multiLevelType w:val="hybridMultilevel"/>
    <w:tmpl w:val="D6F64D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7836E2"/>
    <w:multiLevelType w:val="hybridMultilevel"/>
    <w:tmpl w:val="5E3A4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26356C87"/>
    <w:multiLevelType w:val="hybridMultilevel"/>
    <w:tmpl w:val="21869A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C5A2685"/>
    <w:multiLevelType w:val="hybridMultilevel"/>
    <w:tmpl w:val="FD7C14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EFE735F"/>
    <w:multiLevelType w:val="hybridMultilevel"/>
    <w:tmpl w:val="AE0EBF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>
    <w:nsid w:val="41EA7CDA"/>
    <w:multiLevelType w:val="hybridMultilevel"/>
    <w:tmpl w:val="F3467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47CA650A"/>
    <w:multiLevelType w:val="hybridMultilevel"/>
    <w:tmpl w:val="F0686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400490"/>
    <w:multiLevelType w:val="hybridMultilevel"/>
    <w:tmpl w:val="4AD08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F92E0F"/>
    <w:multiLevelType w:val="hybridMultilevel"/>
    <w:tmpl w:val="87DA3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C3541F"/>
    <w:multiLevelType w:val="hybridMultilevel"/>
    <w:tmpl w:val="BB60F9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71D3F9C"/>
    <w:multiLevelType w:val="hybridMultilevel"/>
    <w:tmpl w:val="FEDCD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EA40C7"/>
    <w:multiLevelType w:val="hybridMultilevel"/>
    <w:tmpl w:val="839670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A0779F"/>
    <w:multiLevelType w:val="hybridMultilevel"/>
    <w:tmpl w:val="4738BA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8982322"/>
    <w:multiLevelType w:val="hybridMultilevel"/>
    <w:tmpl w:val="0E541A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7">
    <w:nsid w:val="79016E8E"/>
    <w:multiLevelType w:val="hybridMultilevel"/>
    <w:tmpl w:val="8D323F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93A0AFA"/>
    <w:multiLevelType w:val="hybridMultilevel"/>
    <w:tmpl w:val="44F4C5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EC17FDB"/>
    <w:multiLevelType w:val="hybridMultilevel"/>
    <w:tmpl w:val="75465A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8"/>
  </w:num>
  <w:num w:numId="3">
    <w:abstractNumId w:val="2"/>
  </w:num>
  <w:num w:numId="4">
    <w:abstractNumId w:val="29"/>
  </w:num>
  <w:num w:numId="5">
    <w:abstractNumId w:val="21"/>
  </w:num>
  <w:num w:numId="6">
    <w:abstractNumId w:val="33"/>
  </w:num>
  <w:num w:numId="7">
    <w:abstractNumId w:val="13"/>
  </w:num>
  <w:num w:numId="8">
    <w:abstractNumId w:val="18"/>
  </w:num>
  <w:num w:numId="9">
    <w:abstractNumId w:val="20"/>
  </w:num>
  <w:num w:numId="10">
    <w:abstractNumId w:val="35"/>
  </w:num>
  <w:num w:numId="11">
    <w:abstractNumId w:val="24"/>
  </w:num>
  <w:num w:numId="12">
    <w:abstractNumId w:val="4"/>
  </w:num>
  <w:num w:numId="13">
    <w:abstractNumId w:val="31"/>
  </w:num>
  <w:num w:numId="14">
    <w:abstractNumId w:val="11"/>
  </w:num>
  <w:num w:numId="15">
    <w:abstractNumId w:val="22"/>
  </w:num>
  <w:num w:numId="16">
    <w:abstractNumId w:val="17"/>
  </w:num>
  <w:num w:numId="17">
    <w:abstractNumId w:val="3"/>
  </w:num>
  <w:num w:numId="18">
    <w:abstractNumId w:val="34"/>
  </w:num>
  <w:num w:numId="19">
    <w:abstractNumId w:val="0"/>
  </w:num>
  <w:num w:numId="20">
    <w:abstractNumId w:val="25"/>
  </w:num>
  <w:num w:numId="21">
    <w:abstractNumId w:val="7"/>
  </w:num>
  <w:num w:numId="22">
    <w:abstractNumId w:val="28"/>
  </w:num>
  <w:num w:numId="23">
    <w:abstractNumId w:val="10"/>
  </w:num>
  <w:num w:numId="24">
    <w:abstractNumId w:val="19"/>
  </w:num>
  <w:num w:numId="25">
    <w:abstractNumId w:val="27"/>
  </w:num>
  <w:num w:numId="26">
    <w:abstractNumId w:val="15"/>
  </w:num>
  <w:num w:numId="27">
    <w:abstractNumId w:val="38"/>
  </w:num>
  <w:num w:numId="28">
    <w:abstractNumId w:val="30"/>
  </w:num>
  <w:num w:numId="29">
    <w:abstractNumId w:val="1"/>
  </w:num>
  <w:num w:numId="30">
    <w:abstractNumId w:val="32"/>
  </w:num>
  <w:num w:numId="31">
    <w:abstractNumId w:val="12"/>
  </w:num>
  <w:num w:numId="32">
    <w:abstractNumId w:val="9"/>
  </w:num>
  <w:num w:numId="33">
    <w:abstractNumId w:val="6"/>
  </w:num>
  <w:num w:numId="34">
    <w:abstractNumId w:val="23"/>
  </w:num>
  <w:num w:numId="35">
    <w:abstractNumId w:val="14"/>
  </w:num>
  <w:num w:numId="36">
    <w:abstractNumId w:val="26"/>
  </w:num>
  <w:num w:numId="37">
    <w:abstractNumId w:val="16"/>
  </w:num>
  <w:num w:numId="38">
    <w:abstractNumId w:val="5"/>
  </w:num>
  <w:num w:numId="39">
    <w:abstractNumId w:val="37"/>
  </w:num>
  <w:num w:numId="4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412E90"/>
    <w:rsid w:val="00720091"/>
    <w:rsid w:val="00911F0E"/>
    <w:rsid w:val="00BD2D22"/>
    <w:rsid w:val="00F25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2012-04-22T12:25:00Z</dcterms:modified>
</cp:coreProperties>
</file>